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267BCC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</w:t>
      </w: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E4484" w:rsidRPr="00F547A3">
        <w:rPr>
          <w:rFonts w:ascii="Verdana" w:hAnsi="Verdana"/>
          <w:b/>
          <w:sz w:val="18"/>
          <w:szCs w:val="18"/>
        </w:rPr>
        <w:t>„</w:t>
      </w:r>
      <w:r w:rsidR="003E4484" w:rsidRPr="00F547A3">
        <w:rPr>
          <w:rFonts w:ascii="Verdana" w:hAnsi="Verdana" w:cs="Arial"/>
          <w:b/>
          <w:sz w:val="18"/>
          <w:szCs w:val="18"/>
        </w:rPr>
        <w:t>Zajištění provozu a oprav plynových kotelen a výměníkových stanic v obvodu OŘ PHA 2024-2026</w:t>
      </w:r>
      <w:r w:rsidR="003E4484" w:rsidRPr="00F547A3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4484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5A865A-03EE-4EF5-85AC-348C8116C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7</cp:revision>
  <cp:lastPrinted>2018-03-26T11:24:00Z</cp:lastPrinted>
  <dcterms:created xsi:type="dcterms:W3CDTF">2023-06-05T11:41:00Z</dcterms:created>
  <dcterms:modified xsi:type="dcterms:W3CDTF">2024-05-09T08:44:00Z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